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108" w:type="dxa"/>
        <w:tblLayout w:type="fixed"/>
        <w:tblLook w:val="0000" w:firstRow="0" w:lastRow="0" w:firstColumn="0" w:lastColumn="0" w:noHBand="0" w:noVBand="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bookmarkStart w:id="0" w:name="_GoBack"/>
            <w:bookmarkEnd w:id="0"/>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A2659D">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F6584F" w:rsidRPr="00F85898" w:rsidRDefault="00F6584F" w:rsidP="00246971">
            <w:pPr>
              <w:rPr>
                <w:sz w:val="24"/>
                <w:szCs w:val="24"/>
              </w:rPr>
            </w:pPr>
            <w:r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A2659D">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9F016A" w:rsidRPr="009F016A" w:rsidRDefault="009F016A" w:rsidP="009F016A">
      <w:pPr>
        <w:widowControl w:val="0"/>
        <w:ind w:firstLine="708"/>
        <w:jc w:val="center"/>
        <w:rPr>
          <w:b/>
          <w:bCs/>
          <w:snapToGrid w:val="0"/>
          <w:sz w:val="24"/>
          <w:szCs w:val="24"/>
        </w:rPr>
      </w:pPr>
      <w:r w:rsidRPr="009F016A">
        <w:rPr>
          <w:b/>
          <w:bCs/>
          <w:snapToGrid w:val="0"/>
          <w:sz w:val="24"/>
          <w:szCs w:val="24"/>
        </w:rPr>
        <w:t>Закрыт</w:t>
      </w:r>
      <w:r>
        <w:rPr>
          <w:b/>
          <w:bCs/>
          <w:snapToGrid w:val="0"/>
          <w:sz w:val="24"/>
          <w:szCs w:val="24"/>
        </w:rPr>
        <w:t>ого</w:t>
      </w:r>
      <w:r w:rsidRPr="009F016A">
        <w:rPr>
          <w:b/>
          <w:bCs/>
          <w:snapToGrid w:val="0"/>
          <w:sz w:val="24"/>
          <w:szCs w:val="24"/>
        </w:rPr>
        <w:t xml:space="preserve"> паево</w:t>
      </w:r>
      <w:r>
        <w:rPr>
          <w:b/>
          <w:bCs/>
          <w:snapToGrid w:val="0"/>
          <w:sz w:val="24"/>
          <w:szCs w:val="24"/>
        </w:rPr>
        <w:t>го</w:t>
      </w:r>
      <w:r w:rsidRPr="009F016A">
        <w:rPr>
          <w:b/>
          <w:bCs/>
          <w:snapToGrid w:val="0"/>
          <w:sz w:val="24"/>
          <w:szCs w:val="24"/>
        </w:rPr>
        <w:t xml:space="preserve"> инвестиционн</w:t>
      </w:r>
      <w:r>
        <w:rPr>
          <w:b/>
          <w:bCs/>
          <w:snapToGrid w:val="0"/>
          <w:sz w:val="24"/>
          <w:szCs w:val="24"/>
        </w:rPr>
        <w:t>ого</w:t>
      </w:r>
      <w:r w:rsidRPr="009F016A">
        <w:rPr>
          <w:b/>
          <w:bCs/>
          <w:snapToGrid w:val="0"/>
          <w:sz w:val="24"/>
          <w:szCs w:val="24"/>
        </w:rPr>
        <w:t xml:space="preserve"> рентн</w:t>
      </w:r>
      <w:r>
        <w:rPr>
          <w:b/>
          <w:bCs/>
          <w:snapToGrid w:val="0"/>
          <w:sz w:val="24"/>
          <w:szCs w:val="24"/>
        </w:rPr>
        <w:t>ого</w:t>
      </w:r>
      <w:r w:rsidRPr="009F016A">
        <w:rPr>
          <w:b/>
          <w:bCs/>
          <w:snapToGrid w:val="0"/>
          <w:sz w:val="24"/>
          <w:szCs w:val="24"/>
        </w:rPr>
        <w:t xml:space="preserve"> фонд</w:t>
      </w:r>
      <w:r>
        <w:rPr>
          <w:b/>
          <w:bCs/>
          <w:snapToGrid w:val="0"/>
          <w:sz w:val="24"/>
          <w:szCs w:val="24"/>
        </w:rPr>
        <w:t>а</w:t>
      </w:r>
      <w:r w:rsidRPr="009F016A">
        <w:rPr>
          <w:b/>
          <w:bCs/>
          <w:snapToGrid w:val="0"/>
          <w:sz w:val="24"/>
          <w:szCs w:val="24"/>
        </w:rPr>
        <w:t xml:space="preserve"> «Рентный 2»</w:t>
      </w:r>
      <w:r w:rsidR="008F26C4" w:rsidRPr="00F85898">
        <w:rPr>
          <w:b/>
          <w:snapToGrid w:val="0"/>
          <w:sz w:val="24"/>
          <w:szCs w:val="24"/>
        </w:rPr>
        <w:t xml:space="preserve"> </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(редакция № 3)</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r w:rsidR="00421397" w:rsidRPr="00421397">
        <w:rPr>
          <w:sz w:val="24"/>
          <w:szCs w:val="24"/>
        </w:rPr>
        <w:t>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22623" w:rsidRDefault="00421397" w:rsidP="00222623">
      <w:pPr>
        <w:autoSpaceDN w:val="0"/>
        <w:adjustRightInd w:val="0"/>
        <w:spacing w:line="360" w:lineRule="auto"/>
        <w:ind w:firstLine="708"/>
        <w:jc w:val="both"/>
        <w:rPr>
          <w:b/>
          <w:i/>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009F016A" w:rsidRPr="00AC12BE">
        <w:rPr>
          <w:rStyle w:val="apple-style-span"/>
          <w:bCs/>
          <w:color w:val="000000"/>
          <w:sz w:val="24"/>
          <w:szCs w:val="24"/>
        </w:rPr>
        <w:t>Закрытого паевого инвестиционного рентного фонда «Рентный 2»</w:t>
      </w:r>
      <w:r w:rsidR="009F016A" w:rsidRPr="00AC12BE">
        <w:rPr>
          <w:rStyle w:val="apple-style-span"/>
          <w:rFonts w:ascii="Verdana" w:hAnsi="Verdana"/>
          <w:bCs/>
          <w:color w:val="000000"/>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00644D" w:rsidRPr="00A2659D">
        <w:rPr>
          <w:color w:val="000000" w:themeColor="text1"/>
          <w:sz w:val="24"/>
          <w:szCs w:val="24"/>
          <w:lang w:eastAsia="ru-RU"/>
        </w:rPr>
        <w:t>07</w:t>
      </w:r>
      <w:r w:rsidR="00222623" w:rsidRPr="00AC12BE">
        <w:rPr>
          <w:color w:val="000000" w:themeColor="text1"/>
          <w:sz w:val="24"/>
          <w:szCs w:val="24"/>
          <w:lang w:eastAsia="ru-RU"/>
        </w:rPr>
        <w:t>.05.2019г.</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A0199" w:rsidP="006002E6">
      <w:pPr>
        <w:pStyle w:val="ConsPlusNormal"/>
        <w:spacing w:before="220"/>
        <w:ind w:firstLine="540"/>
        <w:jc w:val="both"/>
        <w:rPr>
          <w:rFonts w:ascii="Times New Roman" w:hAnsi="Times New Roman" w:cs="Times New Roman"/>
          <w:color w:val="000000" w:themeColor="text1"/>
          <w:sz w:val="24"/>
          <w:szCs w:val="24"/>
        </w:rPr>
      </w:pPr>
      <w:r w:rsidRPr="0000644D">
        <w:rPr>
          <w:rFonts w:ascii="Verdana" w:hAnsi="Verdana"/>
        </w:rPr>
        <w:t>после завершения (окончания) формирования СЧА определяется</w:t>
      </w:r>
      <w:r w:rsidRPr="00421397">
        <w:rPr>
          <w:rFonts w:ascii="Times New Roman" w:hAnsi="Times New Roman" w:cs="Times New Roman"/>
          <w:color w:val="000000" w:themeColor="text1"/>
          <w:sz w:val="24"/>
          <w:szCs w:val="24"/>
        </w:rPr>
        <w:t xml:space="preserve"> </w:t>
      </w:r>
      <w:r w:rsidR="00421397"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w:t>
      </w:r>
    </w:p>
    <w:p w:rsidR="00006884" w:rsidRPr="00F85898" w:rsidRDefault="00421397" w:rsidP="004A0199">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w:t>
      </w:r>
      <w:r w:rsidR="0000644D" w:rsidRPr="00A2659D">
        <w:rPr>
          <w:color w:val="000000" w:themeColor="text1"/>
          <w:sz w:val="24"/>
          <w:szCs w:val="24"/>
          <w:lang w:eastAsia="ru-RU"/>
        </w:rPr>
        <w:t>19</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w:t>
      </w:r>
      <w:r w:rsidRPr="00F85898">
        <w:rPr>
          <w:color w:val="000000" w:themeColor="text1"/>
          <w:sz w:val="24"/>
          <w:szCs w:val="24"/>
          <w:lang w:eastAsia="ru-RU"/>
        </w:rPr>
        <w:lastRenderedPageBreak/>
        <w:t>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w:t>
      </w:r>
      <w:r w:rsidR="004A0199" w:rsidRPr="00421397">
        <w:rPr>
          <w:color w:val="000000" w:themeColor="text1"/>
          <w:sz w:val="24"/>
          <w:szCs w:val="24"/>
          <w:lang w:eastAsia="ru-RU"/>
        </w:rPr>
        <w:t>2</w:t>
      </w:r>
      <w:r w:rsidR="00591EF0" w:rsidRPr="00A2659D">
        <w:rPr>
          <w:color w:val="000000" w:themeColor="text1"/>
          <w:sz w:val="24"/>
          <w:szCs w:val="24"/>
          <w:lang w:eastAsia="ru-RU"/>
        </w:rPr>
        <w:t>0</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5B6340" w:rsidP="00FA4BF8">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sidR="00FA4BF8">
        <w:rPr>
          <w:iCs/>
          <w:szCs w:val="24"/>
          <w:shd w:val="clear" w:color="auto" w:fill="FFFFFF"/>
        </w:rPr>
        <w:t>доверительного управления</w:t>
      </w:r>
      <w:r w:rsidR="00FA4BF8"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11" o:title=""/>
          </v:shape>
          <o:OLEObject Type="Embed" ProgID="Equation.3" ShapeID="_x0000_i1025" DrawAspect="Content" ObjectID="_1617630522" r:id="rId1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9pt;height:16.5pt" o:ole="">
            <v:imagedata r:id="rId13" o:title=""/>
          </v:shape>
          <o:OLEObject Type="Embed" ProgID="Equation.3" ShapeID="_x0000_i1026" DrawAspect="Content" ObjectID="_1617630523" r:id="rId14"/>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5pt;height:13.5pt" o:ole="">
            <v:imagedata r:id="rId15" o:title=""/>
          </v:shape>
          <o:OLEObject Type="Embed" ProgID="Equation.3" ShapeID="_x0000_i1027" DrawAspect="Content" ObjectID="_1617630524" r:id="rId16"/>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75pt;height:17.25pt" o:ole="">
            <v:imagedata r:id="rId17" o:title=""/>
          </v:shape>
          <o:OLEObject Type="Embed" ProgID="Equation.3" ShapeID="_x0000_i1028" DrawAspect="Content" ObjectID="_1617630525" r:id="rId18"/>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5pt;height:18.75pt" o:ole="">
            <v:imagedata r:id="rId19" o:title=""/>
          </v:shape>
          <o:OLEObject Type="Embed" ProgID="Equation.3" ShapeID="_x0000_i1029" DrawAspect="Content" ObjectID="_1617630526" r:id="rId20"/>
        </w:object>
      </w:r>
      <w:r w:rsidRPr="002B57C5">
        <w:rPr>
          <w:rFonts w:eastAsia="Batang"/>
          <w:szCs w:val="24"/>
        </w:rPr>
        <w:t>, определенная с точностью до 2 – х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5pt;height:48pt" o:ole="">
            <v:imagedata r:id="rId21" o:title=""/>
          </v:shape>
          <o:OLEObject Type="Embed" ProgID="Equation.3" ShapeID="_x0000_i1030" DrawAspect="Content" ObjectID="_1617630527" r:id="rId2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pt;height:17.25pt" o:ole="">
            <v:imagedata r:id="rId23" o:title=""/>
          </v:shape>
          <o:OLEObject Type="Embed" ProgID="Equation.3" ShapeID="_x0000_i1031" DrawAspect="Content" ObjectID="_1617630528"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25pt;height:17.25pt" o:ole="">
            <v:imagedata r:id="rId25" o:title=""/>
          </v:shape>
          <o:OLEObject Type="Embed" ProgID="Equation.3" ShapeID="_x0000_i1032" DrawAspect="Content" ObjectID="_1617630529"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9.75pt;height:9pt" o:ole="">
            <v:imagedata r:id="rId27" o:title=""/>
          </v:shape>
          <o:OLEObject Type="Embed" ProgID="Equation.3" ShapeID="_x0000_i1033" DrawAspect="Content" ObjectID="_1617630530" r:id="rId28"/>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4pt;height:21pt" o:ole="">
            <v:imagedata r:id="rId29" o:title=""/>
          </v:shape>
          <o:OLEObject Type="Embed" ProgID="Equation.3" ShapeID="_x0000_i1034" DrawAspect="Content" ObjectID="_1617630531" r:id="rId30"/>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4pt;height:24pt" o:ole="">
            <v:imagedata r:id="rId31" o:title=""/>
          </v:shape>
          <o:OLEObject Type="Embed" ProgID="Equation.3" ShapeID="_x0000_i1035" DrawAspect="Content" ObjectID="_1617630532" r:id="rId32"/>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25pt;height:17.25pt" o:ole="">
            <v:imagedata r:id="rId33" o:title=""/>
          </v:shape>
          <o:OLEObject Type="Embed" ProgID="Equation.3" ShapeID="_x0000_i1036" DrawAspect="Content" ObjectID="_1617630533" r:id="rId34"/>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4.75pt;height:32.25pt" o:ole="">
                  <v:imagedata r:id="rId35" o:title=""/>
                </v:shape>
                <o:OLEObject Type="Embed" ProgID="Equation.3" ShapeID="_x0000_i1038" DrawAspect="Content" ObjectID="_1617630534" r:id="rId36"/>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5pt;height:18.75pt" o:ole="">
            <v:imagedata r:id="rId37" o:title=""/>
          </v:shape>
          <o:OLEObject Type="Embed" ProgID="Equation.3" ShapeID="_x0000_i1039" DrawAspect="Content" ObjectID="_1617630535" r:id="rId38"/>
        </w:object>
      </w:r>
      <w:r w:rsidRPr="002B57C5">
        <w:rPr>
          <w:rFonts w:eastAsia="Batang"/>
          <w:szCs w:val="24"/>
        </w:rPr>
        <w:t xml:space="preserve"> и </w:t>
      </w:r>
      <w:r w:rsidRPr="002B57C5">
        <w:rPr>
          <w:rFonts w:eastAsia="Batang"/>
          <w:szCs w:val="24"/>
        </w:rPr>
        <w:object w:dxaOrig="840" w:dyaOrig="360">
          <v:shape id="_x0000_i1040" type="#_x0000_t75" style="width:42.75pt;height:17.25pt" o:ole="">
            <v:imagedata r:id="rId39" o:title=""/>
          </v:shape>
          <o:OLEObject Type="Embed" ProgID="Equation.3" ShapeID="_x0000_i1040" DrawAspect="Content" ObjectID="_1617630536" r:id="rId40"/>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41" type="#_x0000_t75" style="width:222.75pt;height:50.25pt" o:ole="">
            <v:imagedata r:id="rId41" o:title=""/>
          </v:shape>
          <o:OLEObject Type="Embed" ProgID="Equation.3" ShapeID="_x0000_i1041" DrawAspect="Content" ObjectID="_1617630537" r:id="rId4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25pt;height:21pt" o:ole="">
            <v:imagedata r:id="rId43" o:title=""/>
          </v:shape>
          <o:OLEObject Type="Embed" ProgID="Equation.3" ShapeID="_x0000_i1042" DrawAspect="Content" ObjectID="_1617630538"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25pt;height:21pt" o:ole="">
            <v:imagedata r:id="rId45" o:title=""/>
          </v:shape>
          <o:OLEObject Type="Embed" ProgID="Equation.3" ShapeID="_x0000_i1043" DrawAspect="Content" ObjectID="_1617630539"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25pt;height:14.25pt" o:ole="">
            <v:imagedata r:id="rId15" o:title=""/>
          </v:shape>
          <o:OLEObject Type="Embed" ProgID="Equation.3" ShapeID="_x0000_i1044" DrawAspect="Content" ObjectID="_1617630540" r:id="rId47"/>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25pt;height:21pt" o:ole="">
            <v:imagedata r:id="rId48" o:title=""/>
          </v:shape>
          <o:OLEObject Type="Embed" ProgID="Equation.3" ShapeID="_x0000_i1045" DrawAspect="Content" ObjectID="_1617630541" r:id="rId49"/>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25pt;height:21pt" o:ole="">
            <v:imagedata r:id="rId45" o:title=""/>
          </v:shape>
          <o:OLEObject Type="Embed" ProgID="Equation.3" ShapeID="_x0000_i1046" DrawAspect="Content" ObjectID="_1617630542" r:id="rId50"/>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25pt;height:21pt" o:ole="">
            <v:imagedata r:id="rId48" o:title=""/>
          </v:shape>
          <o:OLEObject Type="Embed" ProgID="Equation.3" ShapeID="_x0000_i1047" DrawAspect="Content" ObjectID="_1617630543"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25pt;height:21pt" o:ole="">
            <v:imagedata r:id="rId45" o:title=""/>
          </v:shape>
          <o:OLEObject Type="Embed" ProgID="Equation.3" ShapeID="_x0000_i1048" DrawAspect="Content" ObjectID="_1617630544" r:id="rId52"/>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8.5pt;height:21pt" o:ole="">
            <v:imagedata r:id="rId53" o:title=""/>
          </v:shape>
          <o:OLEObject Type="Embed" ProgID="Equation.3" ShapeID="_x0000_i1049" DrawAspect="Content" ObjectID="_1617630545"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5pt;height:14.25pt" o:ole="">
            <v:imagedata r:id="rId55" o:title=""/>
          </v:shape>
          <o:OLEObject Type="Embed" ProgID="Equation.3" ShapeID="_x0000_i1050" DrawAspect="Content" ObjectID="_1617630546" r:id="rId56"/>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51" type="#_x0000_t75" style="width:14.25pt;height:21pt" o:ole="">
            <v:imagedata r:id="rId45" o:title=""/>
          </v:shape>
          <o:OLEObject Type="Embed" ProgID="Equation.3" ShapeID="_x0000_i1051" DrawAspect="Content" ObjectID="_1617630547" r:id="rId57"/>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1.75pt;height:129.75pt" o:ole="">
            <v:imagedata r:id="rId58" o:title=""/>
          </v:shape>
          <o:OLEObject Type="Embed" ProgID="Equation.3" ShapeID="_x0000_i1052" DrawAspect="Content" ObjectID="_1617630548" r:id="rId5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25pt;height:21pt" o:ole="">
            <v:imagedata r:id="rId60" o:title=""/>
          </v:shape>
          <o:OLEObject Type="Embed" ProgID="Equation.3" ShapeID="_x0000_i1053" DrawAspect="Content" ObjectID="_1617630549" r:id="rId61"/>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7pt;height:21pt" o:ole="">
            <v:imagedata r:id="rId62" o:title=""/>
          </v:shape>
          <o:OLEObject Type="Embed" ProgID="Equation.3" ShapeID="_x0000_i1054" DrawAspect="Content" ObjectID="_1617630550"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8.5pt;height:36pt" o:ole="">
            <v:imagedata r:id="rId64" o:title=""/>
          </v:shape>
          <o:OLEObject Type="Embed" ProgID="Equation.3" ShapeID="_x0000_i1055" DrawAspect="Content" ObjectID="_1617630551"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9pt;height:9pt" o:ole="">
            <v:imagedata r:id="rId27" o:title=""/>
          </v:shape>
          <o:OLEObject Type="Embed" ProgID="Equation.3" ShapeID="_x0000_i1056" DrawAspect="Content" ObjectID="_1617630552" r:id="rId66"/>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7pt;height:21pt" o:ole="">
            <v:imagedata r:id="rId29" o:title=""/>
          </v:shape>
          <o:OLEObject Type="Embed" ProgID="Equation.3" ShapeID="_x0000_i1057" DrawAspect="Content" ObjectID="_1617630553" r:id="rId67"/>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25pt;height:21pt" o:ole="">
            <v:imagedata r:id="rId48" o:title=""/>
          </v:shape>
          <o:OLEObject Type="Embed" ProgID="Equation.3" ShapeID="_x0000_i1058" DrawAspect="Content" ObjectID="_1617630554" r:id="rId6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7pt;height:21.75pt" o:ole="">
            <v:imagedata r:id="rId31" o:title=""/>
          </v:shape>
          <o:OLEObject Type="Embed" ProgID="Equation.3" ShapeID="_x0000_i1059" DrawAspect="Content" ObjectID="_1617630555"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25pt;height:21pt" o:ole="">
            <v:imagedata r:id="rId48" o:title=""/>
          </v:shape>
          <o:OLEObject Type="Embed" ProgID="Equation.3" ShapeID="_x0000_i1060" DrawAspect="Content" ObjectID="_1617630556" r:id="rId70"/>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1" type="#_x0000_t75" style="width:14.25pt;height:21pt" o:ole="">
            <v:imagedata r:id="rId33" o:title=""/>
          </v:shape>
          <o:OLEObject Type="Embed" ProgID="Equation.3" ShapeID="_x0000_i1061" DrawAspect="Content" ObjectID="_1617630557" r:id="rId71"/>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2" type="#_x0000_t75" style="width:14.25pt;height:21pt" o:ole="">
            <v:imagedata r:id="rId48" o:title=""/>
          </v:shape>
          <o:OLEObject Type="Embed" ProgID="Equation.3" ShapeID="_x0000_i1062" DrawAspect="Content" ObjectID="_1617630558" r:id="rId72"/>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3" type="#_x0000_t75" style="width:16.5pt;height:21pt" o:ole="">
            <v:imagedata r:id="rId73" o:title=""/>
          </v:shape>
          <o:OLEObject Type="Embed" ProgID="Equation.3" ShapeID="_x0000_i1063" DrawAspect="Content" ObjectID="_1617630559"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4" type="#_x0000_t75" style="width:14.25pt;height:21pt" o:ole="">
            <v:imagedata r:id="rId33" o:title=""/>
          </v:shape>
          <o:OLEObject Type="Embed" ProgID="Equation.3" ShapeID="_x0000_i1064" DrawAspect="Content" ObjectID="_1617630560"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5" type="#_x0000_t75" style="width:14.25pt;height:21pt" o:ole="">
            <v:imagedata r:id="rId48" o:title=""/>
          </v:shape>
          <o:OLEObject Type="Embed" ProgID="Equation.3" ShapeID="_x0000_i1065" DrawAspect="Content" ObjectID="_1617630561"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6" type="#_x0000_t75" style="width:50.25pt;height:36pt" o:ole="">
            <v:imagedata r:id="rId77" o:title=""/>
          </v:shape>
          <o:OLEObject Type="Embed" ProgID="Equation.3" ShapeID="_x0000_i1066" DrawAspect="Content" ObjectID="_1617630562" r:id="rId7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7" type="#_x0000_t75" style="width:135.75pt;height:63pt" o:ole="">
              <v:imagedata r:id="rId79" o:title=""/>
            </v:shape>
            <o:OLEObject Type="Embed" ProgID="Equation.3" ShapeID="_x0000_i1067" DrawAspect="Content" ObjectID="_1617630563"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9" type="#_x0000_t75" style="width:137.25pt;height:65.25pt" o:ole="">
                  <v:imagedata r:id="rId81" o:title=""/>
                </v:shape>
                <o:OLEObject Type="Embed" ProgID="Equation.3" ShapeID="_x0000_i1069" DrawAspect="Content" ObjectID="_1617630564" r:id="rId82"/>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70" type="#_x0000_t75" style="width:14.25pt;height:21pt" o:ole="">
            <v:imagedata r:id="rId45" o:title=""/>
          </v:shape>
          <o:OLEObject Type="Embed" ProgID="Equation.3" ShapeID="_x0000_i1070" DrawAspect="Content" ObjectID="_1617630565" r:id="rId83"/>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71" type="#_x0000_t75" style="width:45pt;height:14.25pt" o:ole="">
            <v:imagedata r:id="rId55" o:title=""/>
          </v:shape>
          <o:OLEObject Type="Embed" ProgID="Equation.3" ShapeID="_x0000_i1071" DrawAspect="Content" ObjectID="_1617630566" r:id="rId84"/>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firstRow="1" w:lastRow="0" w:firstColumn="1" w:lastColumn="0" w:noHBand="0" w:noVBand="1"/>
      </w:tblPr>
      <w:tblGrid>
        <w:gridCol w:w="3374"/>
        <w:gridCol w:w="6446"/>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при условии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что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при условии </w:t>
            </w:r>
            <w:r w:rsidR="009A63FA">
              <w:rPr>
                <w:color w:val="000000" w:themeColor="text1"/>
                <w:sz w:val="24"/>
                <w:szCs w:val="24"/>
              </w:rPr>
              <w:t xml:space="preserve">что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482"/>
        <w:gridCol w:w="7338"/>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714CB0"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714CB0"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Risk-free Rate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714CB0"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714CB0"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14CB0"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 xml:space="preserve">модель оценки в соответствии с Приложением </w:t>
            </w:r>
            <w:r w:rsidR="00FC2545">
              <w:rPr>
                <w:color w:val="000000" w:themeColor="text1"/>
                <w:sz w:val="24"/>
                <w:szCs w:val="24"/>
              </w:rPr>
              <w:t>20</w:t>
            </w:r>
            <w:r w:rsidR="00FC2545" w:rsidRPr="00421397">
              <w:rPr>
                <w:color w:val="000000" w:themeColor="text1"/>
                <w:sz w:val="24"/>
                <w:szCs w:val="24"/>
              </w:rPr>
              <w:t xml:space="preserve"> </w:t>
            </w:r>
            <w:r w:rsidRPr="00421397">
              <w:rPr>
                <w:color w:val="000000" w:themeColor="text1"/>
                <w:sz w:val="24"/>
                <w:szCs w:val="24"/>
              </w:rPr>
              <w:t>.</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 xml:space="preserve">1) Цена BGN (Last Price), раскрываемая информационной системой "Блумберг" (Bloomberg) на дату определения СЧА; </w:t>
            </w:r>
            <w:r w:rsidRPr="00421397">
              <w:rPr>
                <w:color w:val="000000" w:themeColor="text1"/>
                <w:sz w:val="24"/>
                <w:szCs w:val="24"/>
              </w:rPr>
              <w:br/>
              <w:t>2) Цена BVAL (Mid BVAL), раскрываемая информационной системой "Блумберг" (Bloomberg) на дату определения СЧА</w:t>
            </w:r>
            <w:r w:rsidR="0072677A">
              <w:rPr>
                <w:color w:val="000000" w:themeColor="text1"/>
                <w:sz w:val="24"/>
                <w:szCs w:val="24"/>
              </w:rPr>
              <w:t xml:space="preserve"> при условии что</w:t>
            </w:r>
            <w:r w:rsidRPr="00421397">
              <w:rPr>
                <w:color w:val="000000" w:themeColor="text1"/>
                <w:sz w:val="24"/>
                <w:szCs w:val="24"/>
              </w:rPr>
              <w:t xml:space="preserve">  </w:t>
            </w:r>
            <w:r w:rsidRPr="00421397">
              <w:rPr>
                <w:color w:val="000000" w:themeColor="text1"/>
                <w:sz w:val="24"/>
                <w:szCs w:val="24"/>
                <w:lang w:val="en-US"/>
              </w:rPr>
              <w:t>Score</w:t>
            </w:r>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r w:rsidR="006467F7">
              <w:rPr>
                <w:lang w:val="en-US"/>
              </w:rPr>
              <w:t>C</w:t>
            </w:r>
            <w:r w:rsidR="0072677A">
              <w:rPr>
                <w:lang w:val="en-US"/>
              </w:rPr>
              <w:t>bonds</w:t>
            </w:r>
            <w:r w:rsidR="0072677A" w:rsidRPr="0072677A">
              <w:t xml:space="preserve"> </w:t>
            </w:r>
            <w:r w:rsidR="0072677A">
              <w:rPr>
                <w:lang w:val="en-US"/>
              </w:rPr>
              <w:t>Estimation</w:t>
            </w:r>
            <w:r w:rsidR="0072677A">
              <w:t xml:space="preserve">, раскрываемая информационным агенством </w:t>
            </w:r>
            <w:r w:rsidR="00B8600F">
              <w:t xml:space="preserve">«Группа компаний </w:t>
            </w:r>
            <w:r w:rsidR="00B8600F">
              <w:rPr>
                <w:lang w:val="en-US"/>
              </w:rPr>
              <w:t>Cbonds</w:t>
            </w:r>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r>
              <w:rPr>
                <w:lang w:val="en-US"/>
              </w:rPr>
              <w:t>Cbonds</w:t>
            </w:r>
            <w:r w:rsidRPr="0072677A">
              <w:t xml:space="preserve"> </w:t>
            </w:r>
            <w:r>
              <w:rPr>
                <w:lang w:val="en-US"/>
              </w:rPr>
              <w:t>Valuation</w:t>
            </w:r>
            <w:r>
              <w:t xml:space="preserve">, раскрываемая информационным агенством «Группа компаний </w:t>
            </w:r>
            <w:r>
              <w:rPr>
                <w:lang w:val="en-US"/>
              </w:rPr>
              <w:t>Cbonds</w:t>
            </w:r>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18"/>
        <w:gridCol w:w="7302"/>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833890" w:rsidRDefault="00421397" w:rsidP="00833890">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w:t>
            </w:r>
            <w:r w:rsidR="00591EF0" w:rsidRPr="00A2659D">
              <w:rPr>
                <w:color w:val="000000" w:themeColor="text1"/>
                <w:sz w:val="24"/>
                <w:szCs w:val="24"/>
              </w:rPr>
              <w:t>20</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 ОЭмЭкс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3" w:name="приложение_5"/>
      <w:r w:rsidRPr="00421397">
        <w:rPr>
          <w:b/>
          <w:color w:val="000000" w:themeColor="text1"/>
          <w:sz w:val="24"/>
          <w:szCs w:val="24"/>
          <w:lang w:eastAsia="ru-RU"/>
        </w:rPr>
        <w:t>Приложение 4</w:t>
      </w:r>
    </w:p>
    <w:bookmarkEnd w:id="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72" type="#_x0000_t75" style="width:108pt;height:36pt" o:ole="">
            <v:imagedata r:id="rId85" o:title=""/>
          </v:shape>
          <o:OLEObject Type="Embed" ProgID="Equation.3" ShapeID="_x0000_i1072" DrawAspect="Content" ObjectID="_1617630567" r:id="rId86"/>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3" type="#_x0000_t75" style="width:14.25pt;height:21pt" o:ole="">
            <v:imagedata r:id="rId87" o:title=""/>
          </v:shape>
          <o:OLEObject Type="Embed" ProgID="Equation.3" ShapeID="_x0000_i1073" DrawAspect="Content" ObjectID="_1617630568" r:id="rId88"/>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4" type="#_x0000_t75" style="width:16.5pt;height:21pt" o:ole="">
            <v:imagedata r:id="rId89" o:title=""/>
          </v:shape>
          <o:OLEObject Type="Embed" ProgID="Equation.3" ShapeID="_x0000_i1074" DrawAspect="Content" ObjectID="_1617630569" r:id="rId90"/>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FC2545">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FC2545">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w:t>
            </w:r>
            <w:r w:rsidR="00591EF0" w:rsidRPr="00A2659D">
              <w:rPr>
                <w:sz w:val="24"/>
                <w:szCs w:val="24"/>
              </w:rPr>
              <w:t xml:space="preserve"> </w:t>
            </w:r>
            <w:r w:rsidR="00833890">
              <w:rPr>
                <w:sz w:val="24"/>
                <w:szCs w:val="24"/>
              </w:rPr>
              <w:t>шкалой</w:t>
            </w:r>
            <w:r w:rsidRPr="00421397">
              <w:rPr>
                <w:sz w:val="24"/>
                <w:szCs w:val="24"/>
              </w:rPr>
              <w:t xml:space="preserve">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1"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w:t>
            </w:r>
            <w:r w:rsidR="00833890">
              <w:rPr>
                <w:sz w:val="24"/>
                <w:szCs w:val="24"/>
              </w:rPr>
              <w:t xml:space="preserve"> шкалой</w:t>
            </w:r>
            <w:r w:rsidRPr="00421397">
              <w:rPr>
                <w:sz w:val="24"/>
                <w:szCs w:val="24"/>
              </w:rPr>
              <w:t xml:space="preserve">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2"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r w:rsidRPr="00C9007A">
        <w:rPr>
          <w:sz w:val="24"/>
          <w:szCs w:val="24"/>
        </w:rPr>
        <w:t>равна</w:t>
      </w:r>
      <w:r>
        <w:rPr>
          <w:rFonts w:ascii="Arial" w:hAnsi="Arial" w:cs="Arial"/>
          <w:color w:val="222222"/>
          <w:sz w:val="13"/>
          <w:szCs w:val="13"/>
          <w:shd w:val="clear" w:color="auto" w:fill="FFFFFF"/>
        </w:rPr>
        <w:t xml:space="preserve"> :</w:t>
      </w:r>
      <w:r w:rsidRPr="00F85898">
        <w:rPr>
          <w:sz w:val="24"/>
          <w:szCs w:val="24"/>
        </w:rPr>
        <w:t xml:space="preserve"> </w:t>
      </w:r>
    </w:p>
    <w:p w:rsidR="00C9007A" w:rsidRDefault="00714CB0"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714CB0"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714CB0"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4"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t>Приложение 5</w:t>
      </w:r>
    </w:p>
    <w:bookmarkEnd w:id="4"/>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A2659D" w:rsidRDefault="00591EF0" w:rsidP="0052714B">
      <w:pPr>
        <w:spacing w:line="360" w:lineRule="auto"/>
        <w:ind w:firstLine="567"/>
        <w:jc w:val="both"/>
        <w:rPr>
          <w:color w:val="000000" w:themeColor="text1"/>
          <w:sz w:val="24"/>
          <w:szCs w:val="24"/>
        </w:rPr>
      </w:pPr>
      <w:r w:rsidRPr="00A2659D">
        <w:rPr>
          <w:color w:val="000000" w:themeColor="text1"/>
          <w:sz w:val="24"/>
          <w:szCs w:val="24"/>
        </w:rPr>
        <w:t xml:space="preserve">Анализу  на  корректировку стоимости (обесценение) подлежат Тестируемые активы, составляющие имущество ПИФ. </w:t>
      </w:r>
    </w:p>
    <w:p w:rsidR="0052714B" w:rsidRPr="00A2659D" w:rsidRDefault="00591EF0" w:rsidP="0052714B">
      <w:pPr>
        <w:spacing w:line="360" w:lineRule="auto"/>
        <w:ind w:firstLine="567"/>
        <w:jc w:val="both"/>
        <w:rPr>
          <w:color w:val="000000" w:themeColor="text1"/>
          <w:sz w:val="24"/>
          <w:szCs w:val="24"/>
        </w:rPr>
      </w:pPr>
      <w:r w:rsidRPr="00A2659D">
        <w:rPr>
          <w:color w:val="000000" w:themeColor="text1"/>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52714B" w:rsidRPr="00A2659D" w:rsidRDefault="0052714B" w:rsidP="006B7006">
      <w:pPr>
        <w:autoSpaceDN w:val="0"/>
        <w:spacing w:line="360" w:lineRule="auto"/>
        <w:ind w:firstLine="709"/>
        <w:jc w:val="both"/>
        <w:rPr>
          <w:bCs/>
          <w:iCs/>
          <w:color w:val="000000" w:themeColor="text1"/>
          <w:sz w:val="24"/>
          <w:szCs w:val="24"/>
        </w:rPr>
      </w:pPr>
    </w:p>
    <w:p w:rsidR="00853199" w:rsidRPr="00A2659D" w:rsidRDefault="00853199" w:rsidP="006B7006">
      <w:pPr>
        <w:pStyle w:val="5"/>
        <w:spacing w:line="360" w:lineRule="auto"/>
        <w:ind w:firstLine="709"/>
        <w:rPr>
          <w:rFonts w:ascii="Times New Roman" w:hAnsi="Times New Roman" w:cs="Times New Roman"/>
          <w:bCs/>
          <w:iCs/>
          <w:color w:val="000000" w:themeColor="text1"/>
          <w:sz w:val="24"/>
          <w:szCs w:val="24"/>
        </w:rPr>
      </w:pPr>
    </w:p>
    <w:p w:rsidR="006B7006" w:rsidRPr="00A2659D" w:rsidRDefault="00591EF0" w:rsidP="006B7006">
      <w:pPr>
        <w:pStyle w:val="5"/>
        <w:spacing w:line="360" w:lineRule="auto"/>
        <w:ind w:firstLine="709"/>
        <w:rPr>
          <w:rFonts w:ascii="Times New Roman" w:hAnsi="Times New Roman" w:cs="Times New Roman"/>
          <w:bCs/>
          <w:iCs/>
          <w:color w:val="000000" w:themeColor="text1"/>
          <w:sz w:val="24"/>
          <w:szCs w:val="24"/>
        </w:rPr>
      </w:pPr>
      <w:r w:rsidRPr="00A2659D">
        <w:rPr>
          <w:rFonts w:ascii="Times New Roman" w:hAnsi="Times New Roman" w:cs="Times New Roman"/>
          <w:b/>
          <w:color w:val="000000" w:themeColor="text1"/>
          <w:sz w:val="24"/>
          <w:szCs w:val="24"/>
        </w:rPr>
        <w:t>Тестируемые активы</w:t>
      </w:r>
      <w:r w:rsidRPr="00A2659D">
        <w:rPr>
          <w:rFonts w:ascii="Times New Roman" w:hAnsi="Times New Roman" w:cs="Times New Roman"/>
          <w:color w:val="000000" w:themeColor="text1"/>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A2659D">
        <w:rPr>
          <w:rFonts w:ascii="Times New Roman" w:eastAsia="Batang" w:hAnsi="Times New Roman" w:cs="Times New Roman"/>
          <w:color w:val="000000" w:themeColor="text1"/>
          <w:sz w:val="24"/>
          <w:szCs w:val="24"/>
        </w:rPr>
        <w:t>значимые доступные</w:t>
      </w:r>
      <w:r w:rsidRPr="00A2659D">
        <w:rPr>
          <w:rFonts w:ascii="Times New Roman" w:hAnsi="Times New Roman" w:cs="Times New Roman"/>
          <w:color w:val="000000" w:themeColor="text1"/>
          <w:sz w:val="24"/>
          <w:szCs w:val="24"/>
        </w:rPr>
        <w:t xml:space="preserve"> данные, в том числе, о следующих событиях</w:t>
      </w:r>
      <w:r w:rsidRPr="00A2659D">
        <w:rPr>
          <w:rFonts w:ascii="Times New Roman" w:hAnsi="Times New Roman" w:cs="Times New Roman"/>
          <w:bCs/>
          <w:iCs/>
          <w:color w:val="000000" w:themeColor="text1"/>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222623" w:rsidRDefault="006B7006" w:rsidP="00521022">
      <w:pPr>
        <w:spacing w:line="360" w:lineRule="auto"/>
        <w:rPr>
          <w:sz w:val="24"/>
          <w:szCs w:val="24"/>
        </w:rPr>
      </w:pPr>
      <w:r w:rsidRPr="00F85898">
        <w:rPr>
          <w:sz w:val="24"/>
          <w:szCs w:val="24"/>
        </w:rPr>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r w:rsidRPr="00F85898">
        <w:rPr>
          <w:sz w:val="24"/>
          <w:szCs w:val="24"/>
        </w:rPr>
        <w:t xml:space="preserve">ии - </w:t>
      </w:r>
      <w:hyperlink r:id="rId93"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94"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95"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xml:space="preserve">- сетевое издание «информационный ресурс «Спарк» - </w:t>
      </w:r>
      <w:hyperlink r:id="rId96"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97"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98" w:history="1">
        <w:r w:rsidR="00421397" w:rsidRPr="000854F6">
          <w:rPr>
            <w:rStyle w:val="af4"/>
            <w:color w:val="auto"/>
            <w:sz w:val="24"/>
            <w:szCs w:val="24"/>
          </w:rPr>
          <w:t>https://bankruptcy.kommersant.ru</w:t>
        </w:r>
      </w:hyperlink>
      <w:r w:rsidRPr="000854F6">
        <w:rPr>
          <w:sz w:val="24"/>
          <w:szCs w:val="24"/>
        </w:rPr>
        <w:t xml:space="preserve">; </w:t>
      </w:r>
      <w:hyperlink r:id="rId99"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r w:rsidRPr="004027FC">
        <w:rPr>
          <w:sz w:val="24"/>
          <w:szCs w:val="24"/>
          <w:lang w:val="en-US"/>
        </w:rPr>
        <w:t>standardandpoors</w:t>
      </w:r>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100"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r w:rsidRPr="004027FC">
          <w:rPr>
            <w:rStyle w:val="af4"/>
            <w:sz w:val="24"/>
            <w:szCs w:val="24"/>
            <w:lang w:val="en-US"/>
          </w:rPr>
          <w:t>moodys</w:t>
        </w:r>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101"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Moody's Investors Service</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Standard &amp; Poor's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Fitch Ratings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714CB0"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714CB0"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(expected credit losses)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 xml:space="preserve">EAD (Exposure at Default;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PD (Probability of Default,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LGD (Loss Given Default,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(recovery rate) – ожидаемый процент возврата по просроченным выплатам. </w:t>
      </w:r>
    </w:p>
    <w:p w:rsidR="00E859FC" w:rsidRPr="00222623" w:rsidRDefault="00E859FC" w:rsidP="00E859FC">
      <w:pPr>
        <w:widowControl w:val="0"/>
        <w:ind w:firstLine="709"/>
        <w:rPr>
          <w:sz w:val="24"/>
          <w:szCs w:val="24"/>
        </w:rPr>
      </w:pPr>
      <w:r w:rsidRPr="00222623">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222623" w:rsidRDefault="00E859FC" w:rsidP="00E859FC">
      <w:pPr>
        <w:numPr>
          <w:ilvl w:val="0"/>
          <w:numId w:val="54"/>
        </w:numPr>
        <w:suppressAutoHyphens w:val="0"/>
        <w:autoSpaceDE/>
        <w:jc w:val="both"/>
        <w:rPr>
          <w:sz w:val="24"/>
          <w:szCs w:val="24"/>
        </w:rPr>
      </w:pPr>
      <w:r w:rsidRPr="00222623">
        <w:rPr>
          <w:sz w:val="24"/>
          <w:szCs w:val="24"/>
        </w:rPr>
        <w:t>сведения об активе, справедливая стоимость которого подлежит обесценению;</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наличии обоснованных причин не проводить корректировку справедливой стоимости активов ПИФ.</w:t>
      </w:r>
    </w:p>
    <w:p w:rsidR="00E859FC" w:rsidRPr="00222623" w:rsidRDefault="00E859FC" w:rsidP="00E859FC">
      <w:pPr>
        <w:ind w:firstLine="567"/>
        <w:rPr>
          <w:rFonts w:ascii="Verdana" w:hAnsi="Verdana"/>
          <w:sz w:val="24"/>
          <w:szCs w:val="24"/>
          <w:highlight w:val="yellow"/>
        </w:rPr>
      </w:pPr>
      <w:r w:rsidRPr="00222623">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222623"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одного из международный рейтинговых агентств - Moody's, SnP или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6B7078" w:rsidRDefault="00D43250" w:rsidP="00222623">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firstRow="1" w:lastRow="0" w:firstColumn="1" w:lastColumn="0" w:noHBand="0" w:noVBand="1"/>
      </w:tblPr>
      <w:tblGrid>
        <w:gridCol w:w="1619"/>
        <w:gridCol w:w="1556"/>
        <w:gridCol w:w="1986"/>
        <w:gridCol w:w="1986"/>
        <w:gridCol w:w="1986"/>
      </w:tblGrid>
      <w:tr w:rsidR="00D43250" w:rsidRPr="00F85898" w:rsidTr="005B6340">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D43250" w:rsidRPr="00F85898" w:rsidTr="005B6340">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5B6340">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5B6340">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6B7078" w:rsidRDefault="006B7078" w:rsidP="00222623">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8D2DCA" w:rsidRDefault="00714CB0" w:rsidP="00AE1E46">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8D2DCA" w:rsidRDefault="00E859FC" w:rsidP="00AE1E46">
      <w:pPr>
        <w:pStyle w:val="a8"/>
        <w:spacing w:beforeLines="50" w:before="120"/>
        <w:ind w:left="1134"/>
        <w:rPr>
          <w:rFonts w:eastAsiaTheme="minorEastAsia"/>
          <w:sz w:val="24"/>
          <w:szCs w:val="24"/>
        </w:rPr>
      </w:pPr>
      <w:r w:rsidRPr="004027FC">
        <w:rPr>
          <w:rFonts w:eastAsiaTheme="minorEastAsia"/>
          <w:sz w:val="24"/>
          <w:szCs w:val="24"/>
        </w:rPr>
        <w:t xml:space="preserve">где, </w:t>
      </w:r>
    </w:p>
    <w:p w:rsidR="008D2DCA" w:rsidRDefault="00E859FC" w:rsidP="00AE1E46">
      <w:pPr>
        <w:pStyle w:val="a8"/>
        <w:spacing w:beforeLines="50" w:before="12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8D2DCA" w:rsidRDefault="00E859FC" w:rsidP="00AE1E46">
      <w:pPr>
        <w:pStyle w:val="a8"/>
        <w:spacing w:beforeLines="50" w:before="12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E859FC" w:rsidRDefault="00E859FC" w:rsidP="00222623">
      <w:pPr>
        <w:pStyle w:val="a8"/>
        <w:spacing w:line="360" w:lineRule="auto"/>
        <w:jc w:val="both"/>
        <w:rPr>
          <w:b/>
          <w:sz w:val="24"/>
          <w:szCs w:val="24"/>
        </w:rPr>
      </w:pPr>
    </w:p>
    <w:p w:rsidR="006B7078" w:rsidRPr="00222623" w:rsidRDefault="006B7078" w:rsidP="00222623">
      <w:pPr>
        <w:pStyle w:val="a8"/>
        <w:spacing w:line="360" w:lineRule="auto"/>
        <w:rPr>
          <w:b/>
          <w:sz w:val="24"/>
          <w:szCs w:val="24"/>
        </w:rPr>
      </w:pPr>
    </w:p>
    <w:p w:rsidR="00D43250" w:rsidRPr="00F85898" w:rsidRDefault="00D43250" w:rsidP="00EE4466">
      <w:pPr>
        <w:pStyle w:val="a8"/>
        <w:numPr>
          <w:ilvl w:val="0"/>
          <w:numId w:val="41"/>
        </w:numPr>
        <w:suppressAutoHyphens w:val="0"/>
        <w:autoSpaceDE/>
        <w:spacing w:line="360" w:lineRule="auto"/>
        <w:jc w:val="both"/>
        <w:rPr>
          <w:sz w:val="24"/>
          <w:szCs w:val="24"/>
        </w:rPr>
      </w:pPr>
    </w:p>
    <w:p w:rsidR="006B7006" w:rsidRPr="00F85898" w:rsidRDefault="000E244F" w:rsidP="00EE4466">
      <w:pPr>
        <w:pStyle w:val="a8"/>
        <w:numPr>
          <w:ilvl w:val="0"/>
          <w:numId w:val="41"/>
        </w:numPr>
        <w:suppressAutoHyphens w:val="0"/>
        <w:autoSpaceDE/>
        <w:spacing w:line="360" w:lineRule="auto"/>
        <w:ind w:left="714" w:hanging="357"/>
        <w:contextualSpacing w:val="0"/>
        <w:jc w:val="both"/>
        <w:rPr>
          <w:sz w:val="24"/>
          <w:szCs w:val="24"/>
        </w:rPr>
      </w:pPr>
      <w:r>
        <w:rPr>
          <w:sz w:val="24"/>
          <w:szCs w:val="24"/>
        </w:rPr>
        <w:t xml:space="preserve">2. </w:t>
      </w:r>
      <w:r w:rsidR="00421397"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 в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реализации  предмет</w:t>
      </w:r>
      <w:r w:rsidR="00AC6B8F">
        <w:rPr>
          <w:sz w:val="24"/>
          <w:szCs w:val="24"/>
        </w:rPr>
        <w:t>а</w:t>
      </w:r>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footerReference w:type="default" r:id="rId102"/>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952360" w:rsidRPr="00421397">
              <w:rPr>
                <w:bCs/>
                <w:sz w:val="24"/>
                <w:szCs w:val="24"/>
              </w:rPr>
              <w:t xml:space="preserve"> </w:t>
            </w:r>
            <w:r w:rsidR="00421397" w:rsidRPr="00421397">
              <w:rPr>
                <w:bCs/>
                <w:sz w:val="24"/>
                <w:szCs w:val="24"/>
              </w:rPr>
              <w:t xml:space="preserve">, ,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причем накопление срока вклада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EE4466" w:rsidRPr="009E4869" w:rsidRDefault="00421397" w:rsidP="009E4869">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FE5E7F" w:rsidRPr="00AE1E46" w:rsidRDefault="00421397">
            <w:pPr>
              <w:numPr>
                <w:ilvl w:val="0"/>
                <w:numId w:val="15"/>
              </w:numPr>
              <w:autoSpaceDN w:val="0"/>
              <w:adjustRightInd w:val="0"/>
              <w:jc w:val="both"/>
              <w:rPr>
                <w:bCs/>
                <w:strike/>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FE5E7F" w:rsidRDefault="00313C49">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E5E7F" w:rsidRDefault="002D2AFC">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E4869">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FE5E7F" w:rsidRDefault="0042139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E5E7F" w:rsidRDefault="00D45667">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Default="007E7856" w:rsidP="00A81615">
      <w:pPr>
        <w:autoSpaceDN w:val="0"/>
        <w:adjustRightInd w:val="0"/>
        <w:spacing w:line="360" w:lineRule="auto"/>
        <w:ind w:firstLine="709"/>
        <w:jc w:val="right"/>
        <w:rPr>
          <w:b/>
          <w:color w:val="000000" w:themeColor="text1"/>
          <w:sz w:val="24"/>
          <w:szCs w:val="24"/>
          <w:lang w:eastAsia="ru-RU"/>
        </w:rPr>
      </w:pPr>
    </w:p>
    <w:p w:rsidR="00A2659D" w:rsidRDefault="00A2659D" w:rsidP="00A81615">
      <w:pPr>
        <w:autoSpaceDN w:val="0"/>
        <w:adjustRightInd w:val="0"/>
        <w:spacing w:line="360" w:lineRule="auto"/>
        <w:ind w:firstLine="709"/>
        <w:jc w:val="right"/>
        <w:rPr>
          <w:b/>
          <w:color w:val="000000" w:themeColor="text1"/>
          <w:sz w:val="24"/>
          <w:szCs w:val="24"/>
          <w:lang w:eastAsia="ru-RU"/>
        </w:rPr>
      </w:pPr>
    </w:p>
    <w:p w:rsidR="00A2659D" w:rsidRDefault="00A2659D" w:rsidP="00A81615">
      <w:pPr>
        <w:autoSpaceDN w:val="0"/>
        <w:adjustRightInd w:val="0"/>
        <w:spacing w:line="360" w:lineRule="auto"/>
        <w:ind w:firstLine="709"/>
        <w:jc w:val="right"/>
        <w:rPr>
          <w:b/>
          <w:color w:val="000000" w:themeColor="text1"/>
          <w:sz w:val="24"/>
          <w:szCs w:val="24"/>
          <w:lang w:eastAsia="ru-RU"/>
        </w:rPr>
      </w:pPr>
    </w:p>
    <w:p w:rsidR="00A2659D" w:rsidRPr="00222623" w:rsidRDefault="00A2659D"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421397" w:rsidP="00F8379B">
            <w:pPr>
              <w:autoSpaceDN w:val="0"/>
              <w:adjustRightInd w:val="0"/>
              <w:jc w:val="both"/>
              <w:rPr>
                <w:b/>
                <w:color w:val="000000" w:themeColor="text1"/>
                <w:sz w:val="24"/>
                <w:szCs w:val="24"/>
                <w:lang w:eastAsia="ru-RU"/>
              </w:rPr>
            </w:pPr>
            <w:r w:rsidRPr="00421397">
              <w:rPr>
                <w:sz w:val="24"/>
                <w:szCs w:val="24"/>
              </w:rPr>
              <w:t xml:space="preserve">, за </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 ,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w:t>
      </w:r>
      <w:r w:rsidR="00833890">
        <w:rPr>
          <w:b/>
          <w:color w:val="000000" w:themeColor="text1"/>
          <w:sz w:val="24"/>
          <w:szCs w:val="24"/>
          <w:lang w:eastAsia="ru-RU"/>
        </w:rPr>
        <w:t>20</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714CB0"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714CB0"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Risk-free Rate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714CB0"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714CB0"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14CB0"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5" type="#_x0000_t75" style="width:144.75pt;height:34.5pt" o:ole="">
            <v:imagedata r:id="rId103" o:title=""/>
          </v:shape>
          <o:OLEObject Type="Embed" ProgID="Equation.3" ShapeID="_x0000_i1075" DrawAspect="Content" ObjectID="_1617630570" r:id="rId104"/>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14CB0"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14CB0"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14CB0"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714CB0"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714CB0"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714CB0"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714CB0"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714CB0"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10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8E5" w:rsidRDefault="006C78E5" w:rsidP="002C56E6">
      <w:r>
        <w:separator/>
      </w:r>
    </w:p>
  </w:endnote>
  <w:endnote w:type="continuationSeparator" w:id="0">
    <w:p w:rsidR="006C78E5" w:rsidRDefault="006C78E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4A0199" w:rsidRDefault="00AF440F">
        <w:pPr>
          <w:pStyle w:val="ac"/>
          <w:jc w:val="right"/>
        </w:pPr>
        <w:r>
          <w:fldChar w:fldCharType="begin"/>
        </w:r>
        <w:r w:rsidR="005B33F6">
          <w:instrText>PAGE   \* MERGEFORMAT</w:instrText>
        </w:r>
        <w:r>
          <w:fldChar w:fldCharType="separate"/>
        </w:r>
        <w:r w:rsidR="00130F8F">
          <w:rPr>
            <w:noProof/>
          </w:rPr>
          <w:t>37</w:t>
        </w:r>
        <w:r>
          <w:rPr>
            <w:noProof/>
          </w:rPr>
          <w:fldChar w:fldCharType="end"/>
        </w:r>
      </w:p>
    </w:sdtContent>
  </w:sdt>
  <w:p w:rsidR="004A0199" w:rsidRDefault="004A019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4A0199" w:rsidRDefault="00AF440F">
        <w:pPr>
          <w:pStyle w:val="ac"/>
          <w:jc w:val="right"/>
        </w:pPr>
        <w:r>
          <w:fldChar w:fldCharType="begin"/>
        </w:r>
        <w:r w:rsidR="005B33F6">
          <w:instrText>PAGE   \* MERGEFORMAT</w:instrText>
        </w:r>
        <w:r>
          <w:fldChar w:fldCharType="separate"/>
        </w:r>
        <w:r w:rsidR="000F212D">
          <w:rPr>
            <w:noProof/>
          </w:rPr>
          <w:t>58</w:t>
        </w:r>
        <w:r>
          <w:rPr>
            <w:noProof/>
          </w:rPr>
          <w:fldChar w:fldCharType="end"/>
        </w:r>
      </w:p>
    </w:sdtContent>
  </w:sdt>
  <w:p w:rsidR="004A0199" w:rsidRDefault="004A01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8E5" w:rsidRDefault="006C78E5" w:rsidP="002C56E6">
      <w:r>
        <w:separator/>
      </w:r>
    </w:p>
  </w:footnote>
  <w:footnote w:type="continuationSeparator" w:id="0">
    <w:p w:rsidR="006C78E5" w:rsidRDefault="006C78E5"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81A7C"/>
    <w:multiLevelType w:val="hybridMultilevel"/>
    <w:tmpl w:val="45B224A8"/>
    <w:lvl w:ilvl="0" w:tplc="AF9222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54ED"/>
    <w:rsid w:val="0000644D"/>
    <w:rsid w:val="00006884"/>
    <w:rsid w:val="00025903"/>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1B9"/>
    <w:rsid w:val="000A132C"/>
    <w:rsid w:val="000A6C7E"/>
    <w:rsid w:val="000B1DFC"/>
    <w:rsid w:val="000B706F"/>
    <w:rsid w:val="000B7B09"/>
    <w:rsid w:val="000C05CA"/>
    <w:rsid w:val="000C05EF"/>
    <w:rsid w:val="000C3B1D"/>
    <w:rsid w:val="000C5507"/>
    <w:rsid w:val="000D15E7"/>
    <w:rsid w:val="000E1BEB"/>
    <w:rsid w:val="000E244F"/>
    <w:rsid w:val="000E5FAD"/>
    <w:rsid w:val="000F212D"/>
    <w:rsid w:val="000F3592"/>
    <w:rsid w:val="000F47F1"/>
    <w:rsid w:val="000F4A06"/>
    <w:rsid w:val="00101794"/>
    <w:rsid w:val="00103CA0"/>
    <w:rsid w:val="00103ECD"/>
    <w:rsid w:val="00112835"/>
    <w:rsid w:val="00121416"/>
    <w:rsid w:val="00122AA6"/>
    <w:rsid w:val="00124737"/>
    <w:rsid w:val="00124DCC"/>
    <w:rsid w:val="0012564D"/>
    <w:rsid w:val="00126788"/>
    <w:rsid w:val="00130F8F"/>
    <w:rsid w:val="0013511E"/>
    <w:rsid w:val="00135FF1"/>
    <w:rsid w:val="00136F7E"/>
    <w:rsid w:val="00140278"/>
    <w:rsid w:val="0014485A"/>
    <w:rsid w:val="0015675F"/>
    <w:rsid w:val="001575E3"/>
    <w:rsid w:val="00162F27"/>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C5E"/>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45D7B"/>
    <w:rsid w:val="00246118"/>
    <w:rsid w:val="00246971"/>
    <w:rsid w:val="0025171B"/>
    <w:rsid w:val="00252323"/>
    <w:rsid w:val="00254893"/>
    <w:rsid w:val="00260C35"/>
    <w:rsid w:val="00264AE2"/>
    <w:rsid w:val="00274BB6"/>
    <w:rsid w:val="002769A7"/>
    <w:rsid w:val="00281B10"/>
    <w:rsid w:val="00282365"/>
    <w:rsid w:val="00286DC3"/>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11556"/>
    <w:rsid w:val="00313C49"/>
    <w:rsid w:val="00316660"/>
    <w:rsid w:val="00320DCD"/>
    <w:rsid w:val="00321549"/>
    <w:rsid w:val="00322BB6"/>
    <w:rsid w:val="00331B00"/>
    <w:rsid w:val="003376B4"/>
    <w:rsid w:val="003418DB"/>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0199"/>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1EF0"/>
    <w:rsid w:val="00594792"/>
    <w:rsid w:val="00595215"/>
    <w:rsid w:val="00595D3F"/>
    <w:rsid w:val="00596255"/>
    <w:rsid w:val="005A025E"/>
    <w:rsid w:val="005A1CC9"/>
    <w:rsid w:val="005A1EFD"/>
    <w:rsid w:val="005A5058"/>
    <w:rsid w:val="005B1C20"/>
    <w:rsid w:val="005B33F6"/>
    <w:rsid w:val="005B6340"/>
    <w:rsid w:val="005C1269"/>
    <w:rsid w:val="005C2917"/>
    <w:rsid w:val="005C2B0E"/>
    <w:rsid w:val="005C2BA2"/>
    <w:rsid w:val="005C4303"/>
    <w:rsid w:val="005C709E"/>
    <w:rsid w:val="005D7502"/>
    <w:rsid w:val="005D7A31"/>
    <w:rsid w:val="005E3646"/>
    <w:rsid w:val="005E364B"/>
    <w:rsid w:val="006002E6"/>
    <w:rsid w:val="00607790"/>
    <w:rsid w:val="0061109D"/>
    <w:rsid w:val="006134F3"/>
    <w:rsid w:val="00621E80"/>
    <w:rsid w:val="00622A8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C78E5"/>
    <w:rsid w:val="006D1997"/>
    <w:rsid w:val="006D63D0"/>
    <w:rsid w:val="006D7DCE"/>
    <w:rsid w:val="006E14CB"/>
    <w:rsid w:val="006E2944"/>
    <w:rsid w:val="006F0033"/>
    <w:rsid w:val="006F2417"/>
    <w:rsid w:val="006F5C88"/>
    <w:rsid w:val="006F725F"/>
    <w:rsid w:val="0071120B"/>
    <w:rsid w:val="00711DD0"/>
    <w:rsid w:val="00711E84"/>
    <w:rsid w:val="00712346"/>
    <w:rsid w:val="00714CB0"/>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3890"/>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2DCA"/>
    <w:rsid w:val="008D4D22"/>
    <w:rsid w:val="008E2A5C"/>
    <w:rsid w:val="008E5875"/>
    <w:rsid w:val="008E7F25"/>
    <w:rsid w:val="008F26C4"/>
    <w:rsid w:val="008F3AE6"/>
    <w:rsid w:val="008F4424"/>
    <w:rsid w:val="00902E5C"/>
    <w:rsid w:val="00905203"/>
    <w:rsid w:val="00913877"/>
    <w:rsid w:val="00914428"/>
    <w:rsid w:val="00915802"/>
    <w:rsid w:val="00926801"/>
    <w:rsid w:val="00927737"/>
    <w:rsid w:val="0092783D"/>
    <w:rsid w:val="00930CD3"/>
    <w:rsid w:val="00933220"/>
    <w:rsid w:val="00940BA1"/>
    <w:rsid w:val="00941F5E"/>
    <w:rsid w:val="009431CA"/>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4869"/>
    <w:rsid w:val="009E5219"/>
    <w:rsid w:val="009F016A"/>
    <w:rsid w:val="00A02AC9"/>
    <w:rsid w:val="00A039F6"/>
    <w:rsid w:val="00A06D3E"/>
    <w:rsid w:val="00A11EB7"/>
    <w:rsid w:val="00A148A4"/>
    <w:rsid w:val="00A15D63"/>
    <w:rsid w:val="00A16DA0"/>
    <w:rsid w:val="00A177BD"/>
    <w:rsid w:val="00A2659D"/>
    <w:rsid w:val="00A319AA"/>
    <w:rsid w:val="00A34F81"/>
    <w:rsid w:val="00A37A5B"/>
    <w:rsid w:val="00A44E99"/>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1E46"/>
    <w:rsid w:val="00AE2A3C"/>
    <w:rsid w:val="00AE6AEB"/>
    <w:rsid w:val="00AE7D68"/>
    <w:rsid w:val="00AF251D"/>
    <w:rsid w:val="00AF440F"/>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8600F"/>
    <w:rsid w:val="00B929B7"/>
    <w:rsid w:val="00B975E2"/>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9007A"/>
    <w:rsid w:val="00C95588"/>
    <w:rsid w:val="00CB4FA4"/>
    <w:rsid w:val="00CD7CEB"/>
    <w:rsid w:val="00CE1BA1"/>
    <w:rsid w:val="00CF46AB"/>
    <w:rsid w:val="00CF47AD"/>
    <w:rsid w:val="00D06219"/>
    <w:rsid w:val="00D07348"/>
    <w:rsid w:val="00D10B6F"/>
    <w:rsid w:val="00D10B8F"/>
    <w:rsid w:val="00D26A87"/>
    <w:rsid w:val="00D3102A"/>
    <w:rsid w:val="00D334F6"/>
    <w:rsid w:val="00D376B9"/>
    <w:rsid w:val="00D42639"/>
    <w:rsid w:val="00D429DF"/>
    <w:rsid w:val="00D43250"/>
    <w:rsid w:val="00D45667"/>
    <w:rsid w:val="00D4693B"/>
    <w:rsid w:val="00D469AE"/>
    <w:rsid w:val="00D47496"/>
    <w:rsid w:val="00D5179F"/>
    <w:rsid w:val="00D5723F"/>
    <w:rsid w:val="00D64D2C"/>
    <w:rsid w:val="00D73A48"/>
    <w:rsid w:val="00D75999"/>
    <w:rsid w:val="00D75F29"/>
    <w:rsid w:val="00D76012"/>
    <w:rsid w:val="00D77127"/>
    <w:rsid w:val="00D77BEF"/>
    <w:rsid w:val="00D9111C"/>
    <w:rsid w:val="00D92430"/>
    <w:rsid w:val="00D95D07"/>
    <w:rsid w:val="00DA443D"/>
    <w:rsid w:val="00DA707A"/>
    <w:rsid w:val="00DB728A"/>
    <w:rsid w:val="00DC1383"/>
    <w:rsid w:val="00DC1C6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C771B"/>
    <w:rsid w:val="00ED5A3B"/>
    <w:rsid w:val="00EE4466"/>
    <w:rsid w:val="00EF184F"/>
    <w:rsid w:val="00EF4DCC"/>
    <w:rsid w:val="00EF65FA"/>
    <w:rsid w:val="00F007D1"/>
    <w:rsid w:val="00F0755E"/>
    <w:rsid w:val="00F102C7"/>
    <w:rsid w:val="00F10DB0"/>
    <w:rsid w:val="00F23641"/>
    <w:rsid w:val="00F310C0"/>
    <w:rsid w:val="00F32675"/>
    <w:rsid w:val="00F365A6"/>
    <w:rsid w:val="00F41E42"/>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2545"/>
    <w:rsid w:val="00FC5FCC"/>
    <w:rsid w:val="00FD2E4B"/>
    <w:rsid w:val="00FD36F6"/>
    <w:rsid w:val="00FD5DBD"/>
    <w:rsid w:val="00FD7167"/>
    <w:rsid w:val="00FE501E"/>
    <w:rsid w:val="00FE5941"/>
    <w:rsid w:val="00FE5E7F"/>
    <w:rsid w:val="00FE662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28C8CC8E-13D0-4438-A7A7-39302336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s://&#1085;&#1072;&#1096;.&#1076;&#1086;&#1084;.&#1088;&#1092;"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s://www.spratings.com/documents/20184/774196/2016+Annual+Global+Corporate+Default+Study+And+Rating+Transitions.pdf/2ddcf9dd-3b82-4151-9dab-8e3fc70a7035"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s://egrul.nalog.ru/index.html" TargetMode="External"/><Relationship Id="rId98" Type="http://schemas.openxmlformats.org/officeDocument/2006/relationships/hyperlink" Target="https://bankruptcy.kommersant.ru"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33.wmf"/><Relationship Id="rId108"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www.spark-interfax.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kad.arbitr.ru" TargetMode="External"/><Relationship Id="rId99" Type="http://schemas.openxmlformats.org/officeDocument/2006/relationships/hyperlink" Target="https://www.kartoteka.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bankrot.fedresurs.ru" TargetMode="External"/><Relationship Id="rId104"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1d7872c-6126-4a32-b4d6-b4aed00f16be"/>
    <ds:schemaRef ds:uri="http://purl.org/dc/dcmitype/"/>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C2733569-14CE-4D82-BBE9-D12D7623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15841</Words>
  <Characters>90298</Characters>
  <Application>Microsoft Office Word</Application>
  <DocSecurity>4</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2019-04-24T14:01:00Z</dcterms:created>
  <dcterms:modified xsi:type="dcterms:W3CDTF">2019-04-24T14:01:00Z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